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Website brief</w:t>
      </w:r>
    </w:p>
    <w:p>
      <w:r>
        <w:t>Completed fictional B2B example</w:t>
      </w:r>
    </w:p>
    <w:p>
      <w:r>
        <w:t>Derrick.dk | 10 October 2026 | Free to adapt for your own project</w:t>
      </w:r>
    </w:p>
    <w:p>
      <w:r>
        <w:t>Northline is fictional. Budget and timeline are illustrative assumptions, not client evidence or a quote.</w:t>
      </w:r>
    </w:p>
    <w:p>
      <w:pPr>
        <w:pStyle w:val="Heading1"/>
      </w:pPr>
      <w:r>
        <w:t>1. Business situation and decisions</w:t>
      </w:r>
    </w:p>
    <w:p>
      <w:r>
        <w:t>Northline Workplace Services needs clearer service pages and a reliable enquiry handoff. Marketing owns content; operations approves service claims; the project sponsor approves scope. Northline is a fictional business.</w:t>
      </w:r>
    </w:p>
    <w:p>
      <w:pPr>
        <w:pStyle w:val="Heading1"/>
      </w:pPr>
      <w:r>
        <w:t>2. Audience and their task</w:t>
      </w:r>
    </w:p>
    <w:p>
      <w:r>
        <w:t>Operations managers compare workplace maintenance suppliers for multiple UK offices. They need coverage, service boundaries, relevant proof and a way to request an assessment. Existing customers need a separate support route.</w:t>
      </w:r>
    </w:p>
    <w:p>
      <w:pPr>
        <w:pStyle w:val="Heading1"/>
      </w:pPr>
      <w:r>
        <w:t>3. Outcomes and measurement</w:t>
      </w:r>
    </w:p>
    <w:p>
      <w:r>
        <w:t>Generate qualified assessment requests. Establish the current baseline before agreeing an improvement target. Track successful accepted submissions and review lead quality with operations, rather than promising a percentage without evidence.</w:t>
      </w:r>
    </w:p>
    <w:p>
      <w:pPr>
        <w:pStyle w:val="Heading1"/>
      </w:pPr>
      <w:r>
        <w:t>4. The main journey</w:t>
      </w:r>
    </w:p>
    <w:p>
      <w:r>
        <w:t>Service page → coverage and relevant case study → assessment request → accepted submission → HubSpot record with named owner → confirmation. Unmatched coverage goes to an operations queue. CRM failures retain the submission and alert its owner.</w:t>
      </w:r>
    </w:p>
    <w:p>
      <w:pPr>
        <w:pStyle w:val="Heading1"/>
      </w:pPr>
      <w:r>
        <w:t>5. Pages, templates and content</w:t>
      </w:r>
    </w:p>
    <w:p>
      <w:r>
        <w:t>Home; three services; coverage; about; contact; six case studies. One reusable service template and one case-study template. Marketing supplies copy and licensed images; operations reviews claims. Final approval dates must be agreed before the delivery window starts.</w:t>
      </w:r>
    </w:p>
    <w:p>
      <w:pPr>
        <w:pStyle w:val="Heading1"/>
      </w:pPr>
      <w:r>
        <w:t>6. Brand direction and references</w:t>
      </w:r>
    </w:p>
    <w:p>
      <w:r>
        <w:t>Use the existing identity. Prioritise readable service hierarchy, clear coverage and evidence of comparable work. No rebrand is included. Marketing will supply brand files and example pages with notes explaining the useful qualities.</w:t>
      </w:r>
    </w:p>
    <w:p>
      <w:pPr>
        <w:pStyle w:val="Heading1"/>
      </w:pPr>
      <w:r>
        <w:t>7. CMS, integrations and data</w:t>
      </w:r>
    </w:p>
    <w:p>
      <w:r>
        <w:t>Marketing must create and publish service and case-study content without code changes. Form fields: name, work email, company, postcode, request. HubSpot is the lead source of truth. Record a stable submission ID, CRM record ID and delivery state; prevent repeated side effects on a duplicate delivery. Operations owns fallback routing and failed-delivery alerts.</w:t>
      </w:r>
    </w:p>
    <w:p>
      <w:pPr>
        <w:pStyle w:val="Heading1"/>
      </w:pPr>
      <w:r>
        <w:t>8. Migration and existing URLs</w:t>
      </w:r>
    </w:p>
    <w:p>
      <w:r>
        <w:t>Obtain the current URL export, documents and form inventory. Approve a redirect map for changed URLs. Retain useful case-study content where accurate. No URL retirement is automatic; the content owner approves destinations and the delivery owner tests them.</w:t>
      </w:r>
    </w:p>
    <w:p>
      <w:pPr>
        <w:pStyle w:val="Heading1"/>
      </w:pPr>
      <w:r>
        <w:t>9. Accessibility and device checks</w:t>
      </w:r>
    </w:p>
    <w:p>
      <w:r>
        <w:t>The main journey needs keyboard access, labelled fields, useful errors, readable contrast and no unintended horizontal scrolling. Agree the target browsers and phone/desktop sizes. Confirm whether a formal accessibility assessment is in scope; do not assume a general QA check is equivalent.</w:t>
      </w:r>
    </w:p>
    <w:p>
      <w:pPr>
        <w:pStyle w:val="Heading1"/>
      </w:pPr>
      <w:r>
        <w:t>10. Budget, timeline and dependencies</w:t>
      </w:r>
    </w:p>
    <w:p>
      <w:r>
        <w:t>Illustrative build allowance: £12,000–£18,000, excluding VAT, hosting and third-party software. Illustrative eight-week window after access and approved content. These figures are fictional planning assumptions, not a quote or market-price survey. Missing access, unapproved claims or a late URL inventory changes the delivery plan.</w:t>
      </w:r>
    </w:p>
    <w:p>
      <w:pPr>
        <w:pStyle w:val="Heading1"/>
      </w:pPr>
      <w:r>
        <w:t>11. Exclusions and open decisions</w:t>
      </w:r>
    </w:p>
    <w:p>
      <w:r>
        <w:t>Exclude customer portal, online payments and rebrand. CMS choice follows an editing demonstration. Marketing supplies the content plan; operations confirms coverage routing. Put each unresolved question in the decision register with its owner, date and consequence of delay.</w:t>
      </w:r>
    </w:p>
    <w:p>
      <w:pPr>
        <w:pStyle w:val="Heading1"/>
      </w:pPr>
      <w:r>
        <w:t>12. Acceptance and handover</w:t>
      </w:r>
    </w:p>
    <w:p>
      <w:r>
        <w:t>A valid enquiry produces one intended CRM record, owner and confirmation. Repeating its delivery does not repeat side effects. Marketing publishes a case study without code. Agreed old URLs resolve to approved destinations. The journey works on agreed mobile/desktop devices. The owners receive account access, a publishing walkthrough and the recovery runbook.</w:t>
      </w:r>
    </w:p>
    <w:p>
      <w:pPr>
        <w:pStyle w:val="Heading1"/>
      </w:pPr>
      <w:r>
        <w:t>Decision register</w:t>
      </w:r>
    </w:p>
    <w:tbl>
      <w:tblPr>
        <w:tblStyle w:val="LightShading-Accent1"/>
        <w:tblW w:type="auto" w:w="0"/>
        <w:tblLook w:firstColumn="1" w:firstRow="1" w:lastColumn="0" w:lastRow="0" w:noHBand="0" w:noVBand="1" w:val="04A0"/>
      </w:tblPr>
      <w:tblGrid>
        <w:gridCol w:w="2160"/>
        <w:gridCol w:w="2160"/>
        <w:gridCol w:w="2160"/>
        <w:gridCol w:w="2160"/>
      </w:tblGrid>
      <w:tr>
        <w:tc>
          <w:tcPr>
            <w:tcW w:type="dxa" w:w="2160"/>
          </w:tcPr>
          <w:p>
            <w:r>
              <w:t>Open question</w:t>
            </w:r>
          </w:p>
        </w:tc>
        <w:tc>
          <w:tcPr>
            <w:tcW w:type="dxa" w:w="2160"/>
          </w:tcPr>
          <w:p>
            <w:r>
              <w:t>Owner</w:t>
            </w:r>
          </w:p>
        </w:tc>
        <w:tc>
          <w:tcPr>
            <w:tcW w:type="dxa" w:w="2160"/>
          </w:tcPr>
          <w:p>
            <w:r>
              <w:t>Decision date</w:t>
            </w:r>
          </w:p>
        </w:tc>
        <w:tc>
          <w:tcPr>
            <w:tcW w:type="dxa" w:w="2160"/>
          </w:tcPr>
          <w:p>
            <w:r>
              <w:t>Effect of delay</w:t>
            </w:r>
          </w:p>
        </w:tc>
      </w:tr>
      <w:tr>
        <w:tc>
          <w:tcPr>
            <w:tcW w:type="dxa" w:w="2160"/>
          </w:tcPr>
          <w:p>
            <w:r>
              <w:t>CMS editing demonstration</w:t>
            </w:r>
          </w:p>
        </w:tc>
        <w:tc>
          <w:tcPr>
            <w:tcW w:type="dxa" w:w="2160"/>
          </w:tcPr>
          <w:p>
            <w:r>
              <w:t>Marketing + developer</w:t>
            </w:r>
          </w:p>
        </w:tc>
        <w:tc>
          <w:tcPr>
            <w:tcW w:type="dxa" w:w="2160"/>
          </w:tcPr>
          <w:p>
            <w:r>
              <w:t>Before scope approval</w:t>
            </w:r>
          </w:p>
        </w:tc>
        <w:tc>
          <w:tcPr>
            <w:tcW w:type="dxa" w:w="2160"/>
          </w:tcPr>
          <w:p>
            <w:r>
              <w:t>Platform and content entry plan remain open</w:t>
            </w:r>
          </w:p>
        </w:tc>
      </w:tr>
      <w:tr>
        <w:tc>
          <w:tcPr>
            <w:tcW w:type="dxa" w:w="2160"/>
          </w:tcPr>
          <w:p>
            <w:r>
              <w:t>Coverage fallback route</w:t>
            </w:r>
          </w:p>
        </w:tc>
        <w:tc>
          <w:tcPr>
            <w:tcW w:type="dxa" w:w="2160"/>
          </w:tcPr>
          <w:p>
            <w:r>
              <w:t>Operations</w:t>
            </w:r>
          </w:p>
        </w:tc>
        <w:tc>
          <w:tcPr>
            <w:tcW w:type="dxa" w:w="2160"/>
          </w:tcPr>
          <w:p>
            <w:r>
              <w:t>Before integration build</w:t>
            </w:r>
          </w:p>
        </w:tc>
        <w:tc>
          <w:tcPr>
            <w:tcW w:type="dxa" w:w="2160"/>
          </w:tcPr>
          <w:p>
            <w:r>
              <w:t>Cannot accept unmatched requests</w:t>
            </w:r>
          </w:p>
        </w:tc>
      </w:tr>
    </w:tbl>
    <w:p>
      <w:pPr>
        <w:pStyle w:val="Heading1"/>
      </w:pPr>
      <w:r>
        <w:t>Sign-off</w:t>
      </w:r>
    </w:p>
    <w:p>
      <w:r>
        <w:t>Scope approved by: __________  Date: __________</w:t>
        <w:br/>
        <w:t>Acceptance reviewed by: __________  Date: __________</w:t>
        <w:br/>
        <w:t>Ongoing system owner: __________</w:t>
      </w:r>
    </w:p>
    <w:sectPr w:rsidR="00FC693F" w:rsidRPr="0006063C" w:rsidSect="00034616">
      <w:footerReference w:type="default" r:id="rId9"/>
      <w:pgSz w:w="12240" w:h="15840"/>
      <w:pgMar w:top="1080"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Derrick.dk | Website brief template | https://www.derrick.dk/post/website-brief-template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4353F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353F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4353F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